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C3" w:rsidRDefault="00BA7CD9">
      <w:pPr>
        <w:spacing w:after="275"/>
      </w:pPr>
      <w:r>
        <w:t>APPENDIX 1</w:t>
      </w:r>
    </w:p>
    <w:p w:rsidR="009E55C3" w:rsidRDefault="00BA7CD9">
      <w:pPr>
        <w:pStyle w:val="Heading1"/>
      </w:pPr>
      <w:r>
        <w:t>CHANGES IN ACCOMODATION RATES</w:t>
      </w:r>
    </w:p>
    <w:p w:rsidR="009E55C3" w:rsidRDefault="00BA7CD9">
      <w:pPr>
        <w:spacing w:after="41" w:line="218" w:lineRule="auto"/>
        <w:ind w:hanging="10"/>
      </w:pPr>
      <w:r>
        <w:rPr>
          <w:sz w:val="24"/>
        </w:rPr>
        <w:t>The following table provides the new rates that will apply as of January 1, 2021.</w:t>
      </w:r>
    </w:p>
    <w:tbl>
      <w:tblPr>
        <w:tblStyle w:val="TableGrid"/>
        <w:tblW w:w="9144" w:type="dxa"/>
        <w:tblInd w:w="86" w:type="dxa"/>
        <w:tblCellMar>
          <w:top w:w="86" w:type="dxa"/>
          <w:left w:w="0" w:type="dxa"/>
          <w:bottom w:w="53" w:type="dxa"/>
          <w:right w:w="154" w:type="dxa"/>
        </w:tblCellMar>
        <w:tblLook w:val="04A0" w:firstRow="1" w:lastRow="0" w:firstColumn="1" w:lastColumn="0" w:noHBand="0" w:noVBand="1"/>
      </w:tblPr>
      <w:tblGrid>
        <w:gridCol w:w="6485"/>
        <w:gridCol w:w="1296"/>
        <w:gridCol w:w="1363"/>
      </w:tblGrid>
      <w:tr w:rsidR="009E55C3">
        <w:trPr>
          <w:trHeight w:val="663"/>
        </w:trPr>
        <w:tc>
          <w:tcPr>
            <w:tcW w:w="6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E55C3" w:rsidRDefault="00BA7CD9">
            <w:pPr>
              <w:spacing w:after="0"/>
              <w:ind w:left="125"/>
            </w:pPr>
            <w:r>
              <w:t>Type of Accommodation</w:t>
            </w:r>
          </w:p>
        </w:tc>
        <w:tc>
          <w:tcPr>
            <w:tcW w:w="1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55C3" w:rsidRDefault="00BA7CD9">
            <w:pPr>
              <w:spacing w:after="0"/>
            </w:pPr>
            <w:r>
              <w:rPr>
                <w:sz w:val="24"/>
              </w:rPr>
              <w:t>New Daily Rate</w:t>
            </w:r>
          </w:p>
        </w:tc>
        <w:tc>
          <w:tcPr>
            <w:tcW w:w="13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55C3" w:rsidRDefault="00BA7CD9">
            <w:pPr>
              <w:spacing w:after="0"/>
            </w:pPr>
            <w:r>
              <w:t>New Monthly Rate</w:t>
            </w:r>
          </w:p>
        </w:tc>
      </w:tr>
      <w:tr w:rsidR="009E55C3">
        <w:trPr>
          <w:trHeight w:val="8784"/>
        </w:trPr>
        <w:tc>
          <w:tcPr>
            <w:tcW w:w="6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55C3" w:rsidRDefault="00BA7CD9">
            <w:pPr>
              <w:spacing w:after="0"/>
              <w:ind w:left="144"/>
            </w:pPr>
            <w:r>
              <w:rPr>
                <w:sz w:val="26"/>
              </w:rPr>
              <w:t>Long-Stay Resident:</w:t>
            </w:r>
          </w:p>
          <w:p w:rsidR="009E55C3" w:rsidRDefault="00BA7CD9">
            <w:pPr>
              <w:spacing w:after="0"/>
              <w:ind w:left="374"/>
            </w:pPr>
            <w:r>
              <w:rPr>
                <w:sz w:val="28"/>
              </w:rPr>
              <w:t>Basic</w:t>
            </w:r>
          </w:p>
          <w:p w:rsidR="009E55C3" w:rsidRDefault="00BA7CD9">
            <w:pPr>
              <w:spacing w:after="27"/>
              <w:ind w:left="370"/>
            </w:pPr>
            <w:r>
              <w:rPr>
                <w:sz w:val="26"/>
              </w:rPr>
              <w:t>Semi-Private</w:t>
            </w:r>
          </w:p>
          <w:p w:rsidR="009E55C3" w:rsidRDefault="00BA7CD9">
            <w:pPr>
              <w:spacing w:after="399"/>
              <w:ind w:left="557"/>
            </w:pPr>
            <w:r>
              <w:rPr>
                <w:sz w:val="24"/>
              </w:rPr>
              <w:t xml:space="preserve">Residents admitted to newer beds on or after July 1, </w:t>
            </w:r>
            <w:r>
              <w:rPr>
                <w:sz w:val="24"/>
              </w:rPr>
              <w:t>2015.</w:t>
            </w:r>
          </w:p>
          <w:p w:rsidR="009E55C3" w:rsidRDefault="00BA7CD9">
            <w:pPr>
              <w:spacing w:after="250" w:line="216" w:lineRule="auto"/>
              <w:ind w:left="552" w:right="590" w:firstLine="5"/>
              <w:jc w:val="both"/>
            </w:pPr>
            <w:r>
              <w:t>Residents admitted to newer beds on or after September 1, 2014, but prior to July 1, 2015.</w:t>
            </w:r>
          </w:p>
          <w:p w:rsidR="009E55C3" w:rsidRDefault="00BA7CD9">
            <w:pPr>
              <w:spacing w:after="241" w:line="216" w:lineRule="auto"/>
              <w:ind w:left="552" w:right="86" w:firstLine="5"/>
            </w:pPr>
            <w:r>
              <w:rPr>
                <w:sz w:val="24"/>
              </w:rPr>
              <w:t xml:space="preserve">Residents admitted to newer beds on or after July 1, </w:t>
            </w:r>
            <w:r>
              <w:rPr>
                <w:sz w:val="24"/>
              </w:rPr>
              <w:t xml:space="preserve">2013, </w:t>
            </w:r>
            <w:r>
              <w:rPr>
                <w:sz w:val="24"/>
              </w:rPr>
              <w:t>but prior to September 1, 2014.</w:t>
            </w:r>
          </w:p>
          <w:p w:rsidR="009E55C3" w:rsidRDefault="00BA7CD9">
            <w:pPr>
              <w:spacing w:after="198" w:line="216" w:lineRule="auto"/>
              <w:ind w:left="552" w:right="86" w:firstLine="5"/>
            </w:pPr>
            <w:r>
              <w:t>Residents admit</w:t>
            </w:r>
            <w:r>
              <w:t xml:space="preserve">ted to newer beds on or after July 1, </w:t>
            </w:r>
            <w:r>
              <w:t xml:space="preserve">2012, </w:t>
            </w:r>
            <w:r>
              <w:t>but prior to July 1, 2013.</w:t>
            </w:r>
          </w:p>
          <w:p w:rsidR="009E55C3" w:rsidRDefault="00BA7CD9">
            <w:pPr>
              <w:spacing w:after="181" w:line="216" w:lineRule="auto"/>
              <w:ind w:left="557"/>
            </w:pPr>
            <w:r>
              <w:rPr>
                <w:sz w:val="24"/>
              </w:rPr>
              <w:t xml:space="preserve">Residents occupying older </w:t>
            </w:r>
            <w:proofErr w:type="gramStart"/>
            <w:r>
              <w:rPr>
                <w:sz w:val="24"/>
              </w:rPr>
              <w:t>beds,</w:t>
            </w:r>
            <w:proofErr w:type="gramEnd"/>
            <w:r>
              <w:rPr>
                <w:sz w:val="24"/>
              </w:rPr>
              <w:t xml:space="preserve"> or residents admitted to newer beds prior to July 1, 2012.</w:t>
            </w:r>
            <w:bookmarkStart w:id="0" w:name="_GoBack"/>
            <w:bookmarkEnd w:id="0"/>
          </w:p>
          <w:p w:rsidR="009E55C3" w:rsidRDefault="00BA7CD9">
            <w:pPr>
              <w:spacing w:after="26"/>
              <w:ind w:left="379"/>
            </w:pPr>
            <w:r>
              <w:rPr>
                <w:sz w:val="26"/>
              </w:rPr>
              <w:t>Private</w:t>
            </w:r>
          </w:p>
          <w:p w:rsidR="009E55C3" w:rsidRDefault="00BA7CD9">
            <w:pPr>
              <w:spacing w:after="374"/>
              <w:ind w:left="552"/>
            </w:pPr>
            <w:r>
              <w:rPr>
                <w:sz w:val="24"/>
              </w:rPr>
              <w:t xml:space="preserve">Residents admitted to newer beds on or after July 1, </w:t>
            </w:r>
            <w:r>
              <w:rPr>
                <w:sz w:val="24"/>
              </w:rPr>
              <w:t>2015.</w:t>
            </w:r>
          </w:p>
          <w:p w:rsidR="009E55C3" w:rsidRDefault="00BA7CD9">
            <w:pPr>
              <w:spacing w:after="248" w:line="216" w:lineRule="auto"/>
              <w:ind w:left="542" w:right="586" w:firstLine="10"/>
              <w:jc w:val="both"/>
            </w:pPr>
            <w:r>
              <w:rPr>
                <w:sz w:val="24"/>
              </w:rPr>
              <w:t>Residents admitted to newer beds on or after September 1, 2014, but prior to July 1, 2015.</w:t>
            </w:r>
          </w:p>
          <w:p w:rsidR="009E55C3" w:rsidRDefault="00BA7CD9">
            <w:pPr>
              <w:spacing w:after="242" w:line="216" w:lineRule="auto"/>
              <w:ind w:left="557" w:right="91"/>
            </w:pPr>
            <w:r>
              <w:t xml:space="preserve">Residents admitted to newer beds on or after July 1, </w:t>
            </w:r>
            <w:r>
              <w:t xml:space="preserve">2013, </w:t>
            </w:r>
            <w:r>
              <w:t>but prior to September 1, 2014.</w:t>
            </w:r>
          </w:p>
          <w:p w:rsidR="009E55C3" w:rsidRDefault="00BA7CD9">
            <w:pPr>
              <w:spacing w:after="201" w:line="216" w:lineRule="auto"/>
              <w:ind w:left="552" w:right="86" w:firstLine="5"/>
              <w:jc w:val="both"/>
            </w:pPr>
            <w:r>
              <w:t xml:space="preserve">Residents admitted to newer beds on or after July 1, </w:t>
            </w:r>
            <w:r>
              <w:t xml:space="preserve">2012, </w:t>
            </w:r>
            <w:r>
              <w:t>but prior to Ju</w:t>
            </w:r>
            <w:r>
              <w:t>ly 1, 2013.</w:t>
            </w:r>
          </w:p>
          <w:p w:rsidR="009E55C3" w:rsidRDefault="00BA7CD9">
            <w:pPr>
              <w:spacing w:after="313" w:line="216" w:lineRule="auto"/>
              <w:ind w:left="547"/>
              <w:jc w:val="both"/>
            </w:pPr>
            <w:r>
              <w:rPr>
                <w:sz w:val="24"/>
              </w:rPr>
              <w:t xml:space="preserve">Residents occupying older </w:t>
            </w:r>
            <w:proofErr w:type="gramStart"/>
            <w:r>
              <w:rPr>
                <w:sz w:val="24"/>
              </w:rPr>
              <w:t>beds,</w:t>
            </w:r>
            <w:proofErr w:type="gramEnd"/>
            <w:r>
              <w:rPr>
                <w:sz w:val="24"/>
              </w:rPr>
              <w:t xml:space="preserve"> or residents admitted to newer beds prior to July 1, 2012.</w:t>
            </w:r>
          </w:p>
          <w:p w:rsidR="009E55C3" w:rsidRDefault="00BA7CD9">
            <w:pPr>
              <w:spacing w:after="0"/>
              <w:ind w:left="331"/>
            </w:pPr>
            <w:r>
              <w:rPr>
                <w:sz w:val="26"/>
              </w:rPr>
              <w:t>Short-Stay Resident (Respite Bed)</w:t>
            </w:r>
          </w:p>
        </w:tc>
        <w:tc>
          <w:tcPr>
            <w:tcW w:w="1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E55C3" w:rsidRDefault="00BA7CD9">
            <w:pPr>
              <w:spacing w:after="337"/>
              <w:ind w:left="230"/>
            </w:pPr>
            <w:r>
              <w:rPr>
                <w:sz w:val="24"/>
              </w:rPr>
              <w:t>$63.36</w:t>
            </w:r>
          </w:p>
          <w:p w:rsidR="009E55C3" w:rsidRDefault="00BA7CD9">
            <w:pPr>
              <w:spacing w:after="389"/>
              <w:ind w:left="226"/>
            </w:pPr>
            <w:r>
              <w:rPr>
                <w:sz w:val="24"/>
              </w:rPr>
              <w:t>$76.38</w:t>
            </w:r>
          </w:p>
          <w:p w:rsidR="009E55C3" w:rsidRDefault="00BA7CD9">
            <w:pPr>
              <w:spacing w:after="385"/>
              <w:ind w:left="226"/>
            </w:pPr>
            <w:r>
              <w:rPr>
                <w:sz w:val="24"/>
              </w:rPr>
              <w:t>$75.29</w:t>
            </w:r>
          </w:p>
          <w:p w:rsidR="009E55C3" w:rsidRDefault="00BA7CD9">
            <w:pPr>
              <w:spacing w:after="385"/>
              <w:ind w:left="230"/>
            </w:pPr>
            <w:r>
              <w:rPr>
                <w:sz w:val="24"/>
              </w:rPr>
              <w:t>$74.21</w:t>
            </w:r>
          </w:p>
          <w:p w:rsidR="009E55C3" w:rsidRDefault="00BA7CD9">
            <w:pPr>
              <w:spacing w:after="385"/>
              <w:ind w:left="230"/>
            </w:pPr>
            <w:r>
              <w:rPr>
                <w:sz w:val="24"/>
              </w:rPr>
              <w:t>$73.11</w:t>
            </w:r>
          </w:p>
          <w:p w:rsidR="009E55C3" w:rsidRDefault="00BA7CD9">
            <w:pPr>
              <w:spacing w:after="716"/>
              <w:ind w:left="230"/>
            </w:pPr>
            <w:r>
              <w:rPr>
                <w:sz w:val="24"/>
              </w:rPr>
              <w:t>$72.04</w:t>
            </w:r>
          </w:p>
          <w:p w:rsidR="009E55C3" w:rsidRDefault="00BA7CD9">
            <w:pPr>
              <w:spacing w:after="385"/>
              <w:ind w:left="230"/>
            </w:pPr>
            <w:r>
              <w:rPr>
                <w:sz w:val="24"/>
              </w:rPr>
              <w:t>$90.51</w:t>
            </w:r>
          </w:p>
          <w:p w:rsidR="009E55C3" w:rsidRDefault="00BA7CD9">
            <w:pPr>
              <w:spacing w:after="389"/>
              <w:ind w:left="230"/>
            </w:pPr>
            <w:r>
              <w:rPr>
                <w:sz w:val="24"/>
              </w:rPr>
              <w:t>$88.61</w:t>
            </w:r>
          </w:p>
          <w:p w:rsidR="009E55C3" w:rsidRDefault="00BA7CD9">
            <w:pPr>
              <w:spacing w:after="389"/>
              <w:ind w:left="230"/>
            </w:pPr>
            <w:r>
              <w:rPr>
                <w:sz w:val="24"/>
              </w:rPr>
              <w:t>$86.70</w:t>
            </w:r>
          </w:p>
          <w:p w:rsidR="009E55C3" w:rsidRDefault="00BA7CD9">
            <w:pPr>
              <w:spacing w:after="385"/>
              <w:ind w:left="230"/>
            </w:pPr>
            <w:r>
              <w:rPr>
                <w:sz w:val="24"/>
              </w:rPr>
              <w:t>$84.80</w:t>
            </w:r>
          </w:p>
          <w:p w:rsidR="009E55C3" w:rsidRDefault="00BA7CD9">
            <w:pPr>
              <w:spacing w:after="490"/>
              <w:ind w:left="230"/>
            </w:pPr>
            <w:r>
              <w:rPr>
                <w:sz w:val="24"/>
              </w:rPr>
              <w:t>$82.90</w:t>
            </w:r>
          </w:p>
          <w:p w:rsidR="009E55C3" w:rsidRDefault="00BA7CD9">
            <w:pPr>
              <w:spacing w:after="0"/>
              <w:ind w:left="230"/>
            </w:pPr>
            <w:r>
              <w:rPr>
                <w:sz w:val="24"/>
              </w:rPr>
              <w:t>$41.00</w:t>
            </w:r>
          </w:p>
        </w:tc>
        <w:tc>
          <w:tcPr>
            <w:tcW w:w="13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E55C3" w:rsidRDefault="00BA7CD9">
            <w:pPr>
              <w:spacing w:after="337"/>
              <w:ind w:left="154"/>
            </w:pPr>
            <w:r>
              <w:rPr>
                <w:sz w:val="24"/>
              </w:rPr>
              <w:t>$1 ,927.20</w:t>
            </w:r>
          </w:p>
          <w:p w:rsidR="009E55C3" w:rsidRDefault="00BA7CD9">
            <w:pPr>
              <w:spacing w:after="389"/>
              <w:ind w:left="154"/>
            </w:pPr>
            <w:r>
              <w:rPr>
                <w:sz w:val="24"/>
              </w:rPr>
              <w:t>$2,323.23</w:t>
            </w:r>
          </w:p>
          <w:p w:rsidR="009E55C3" w:rsidRDefault="00BA7CD9">
            <w:pPr>
              <w:spacing w:after="385"/>
              <w:ind w:left="154"/>
            </w:pPr>
            <w:r>
              <w:rPr>
                <w:sz w:val="24"/>
              </w:rPr>
              <w:t>$2,290.07</w:t>
            </w:r>
          </w:p>
          <w:p w:rsidR="009E55C3" w:rsidRDefault="00BA7CD9">
            <w:pPr>
              <w:spacing w:after="385"/>
              <w:ind w:left="154"/>
            </w:pPr>
            <w:r>
              <w:rPr>
                <w:sz w:val="24"/>
              </w:rPr>
              <w:t>$2,257.22</w:t>
            </w:r>
          </w:p>
          <w:p w:rsidR="009E55C3" w:rsidRDefault="00BA7CD9">
            <w:pPr>
              <w:spacing w:after="389"/>
              <w:ind w:left="154"/>
            </w:pPr>
            <w:r>
              <w:rPr>
                <w:sz w:val="24"/>
              </w:rPr>
              <w:t>$2,223.76</w:t>
            </w:r>
          </w:p>
          <w:p w:rsidR="009E55C3" w:rsidRDefault="00BA7CD9">
            <w:pPr>
              <w:spacing w:after="711"/>
              <w:ind w:left="158"/>
            </w:pPr>
            <w:r>
              <w:rPr>
                <w:sz w:val="24"/>
              </w:rPr>
              <w:t>$2,191.22</w:t>
            </w:r>
          </w:p>
          <w:p w:rsidR="009E55C3" w:rsidRDefault="00BA7CD9">
            <w:pPr>
              <w:spacing w:after="385"/>
              <w:ind w:left="158"/>
            </w:pPr>
            <w:r>
              <w:rPr>
                <w:sz w:val="24"/>
              </w:rPr>
              <w:t>$2,753.02</w:t>
            </w:r>
          </w:p>
          <w:p w:rsidR="009E55C3" w:rsidRDefault="00BA7CD9">
            <w:pPr>
              <w:spacing w:after="394"/>
              <w:ind w:left="158"/>
            </w:pPr>
            <w:r>
              <w:rPr>
                <w:sz w:val="24"/>
              </w:rPr>
              <w:t>$2,695.22</w:t>
            </w:r>
          </w:p>
          <w:p w:rsidR="009E55C3" w:rsidRDefault="00BA7CD9">
            <w:pPr>
              <w:spacing w:after="385"/>
              <w:ind w:left="158"/>
            </w:pPr>
            <w:r>
              <w:rPr>
                <w:sz w:val="24"/>
              </w:rPr>
              <w:t>$2,637.13</w:t>
            </w:r>
          </w:p>
          <w:p w:rsidR="009E55C3" w:rsidRDefault="00BA7CD9">
            <w:pPr>
              <w:spacing w:after="389"/>
              <w:ind w:left="158"/>
            </w:pPr>
            <w:r>
              <w:rPr>
                <w:sz w:val="24"/>
              </w:rPr>
              <w:t>$2,579.34</w:t>
            </w:r>
          </w:p>
          <w:p w:rsidR="009E55C3" w:rsidRDefault="00BA7CD9">
            <w:pPr>
              <w:spacing w:after="485"/>
              <w:ind w:left="158"/>
            </w:pPr>
            <w:r>
              <w:rPr>
                <w:sz w:val="24"/>
              </w:rPr>
              <w:t>$2,521.54</w:t>
            </w:r>
          </w:p>
          <w:p w:rsidR="009E55C3" w:rsidRDefault="00BA7CD9">
            <w:pPr>
              <w:spacing w:after="0"/>
              <w:ind w:left="62"/>
              <w:jc w:val="center"/>
            </w:pPr>
            <w:r>
              <w:rPr>
                <w:sz w:val="24"/>
              </w:rPr>
              <w:t>N/A</w:t>
            </w:r>
          </w:p>
        </w:tc>
      </w:tr>
    </w:tbl>
    <w:p w:rsidR="009E55C3" w:rsidRDefault="00BA7CD9">
      <w:pPr>
        <w:spacing w:after="41" w:line="218" w:lineRule="auto"/>
        <w:ind w:left="1378" w:hanging="1248"/>
      </w:pPr>
      <w:r>
        <w:rPr>
          <w:sz w:val="24"/>
        </w:rPr>
        <w:t>NOTE:</w:t>
      </w:r>
      <w:r>
        <w:rPr>
          <w:sz w:val="24"/>
        </w:rPr>
        <w:tab/>
        <w:t>"Newer beds" — beds classified as "NEW" or "A" according to ministry design standards</w:t>
      </w:r>
    </w:p>
    <w:p w:rsidR="009E55C3" w:rsidRDefault="00BA7CD9">
      <w:pPr>
        <w:spacing w:after="41" w:line="218" w:lineRule="auto"/>
        <w:ind w:left="1388" w:hanging="10"/>
      </w:pPr>
      <w:r>
        <w:rPr>
          <w:sz w:val="24"/>
        </w:rPr>
        <w:t>"Older beds" — beds classified as "B", "C", "Upgraded D" or "D" according to ministry design standards</w:t>
      </w:r>
    </w:p>
    <w:sectPr w:rsidR="009E55C3">
      <w:pgSz w:w="12240" w:h="15840"/>
      <w:pgMar w:top="1440" w:right="1464" w:bottom="1440" w:left="16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C3"/>
    <w:rsid w:val="009E55C3"/>
    <w:rsid w:val="00B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DF85F-7F5C-4C8F-9BB0-C4562F08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7"/>
      <w:ind w:left="96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 Caines</dc:creator>
  <cp:keywords/>
  <cp:lastModifiedBy>Augustine Caines</cp:lastModifiedBy>
  <cp:revision>2</cp:revision>
  <dcterms:created xsi:type="dcterms:W3CDTF">2020-09-30T17:55:00Z</dcterms:created>
  <dcterms:modified xsi:type="dcterms:W3CDTF">2020-09-30T17:55:00Z</dcterms:modified>
</cp:coreProperties>
</file>